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exact" w:line="260"/>
        <w:ind w:left="0" w:right="57" w:hanging="0"/>
        <w:jc w:val="both"/>
        <w:rPr/>
      </w:pPr>
      <w:r>
        <w:rPr>
          <w:rFonts w:ascii="黑体" w:hAnsi="黑体" w:eastAsia="黑体"/>
          <w:b/>
          <w:sz w:val="32"/>
          <w:szCs w:val="32"/>
        </w:rPr>
        <w:t>苏州大学、江苏大学、苏州科技大学</w:t>
      </w:r>
      <w:r>
        <w:rPr>
          <w:rFonts w:eastAsia="黑体" w:ascii="黑体" w:hAnsi="黑体"/>
          <w:b/>
          <w:sz w:val="32"/>
          <w:szCs w:val="32"/>
        </w:rPr>
        <w:t>2018</w:t>
      </w:r>
      <w:r>
        <w:rPr>
          <w:rFonts w:ascii="黑体" w:hAnsi="黑体" w:eastAsia="黑体"/>
          <w:b/>
          <w:sz w:val="32"/>
          <w:szCs w:val="32"/>
        </w:rPr>
        <w:t>年（常熟教学点）成人高等教育（专升本）招生</w:t>
      </w:r>
      <w:r>
        <w:rPr>
          <w:rFonts w:ascii="楷体_GB2312" w:hAnsi="楷体_GB2312" w:eastAsia="楷体_GB2312"/>
          <w:b/>
          <w:sz w:val="32"/>
          <w:szCs w:val="32"/>
        </w:rPr>
        <w:t xml:space="preserve">  </w:t>
      </w:r>
    </w:p>
    <w:p>
      <w:pPr>
        <w:pStyle w:val="Normal"/>
        <w:widowControl w:val="false"/>
        <w:tabs>
          <w:tab w:val="left" w:pos="75" w:leader="none"/>
        </w:tabs>
        <w:bidi w:val="0"/>
        <w:spacing w:lineRule="exact" w:line="260"/>
        <w:ind w:left="0" w:right="57" w:firstLine="340"/>
        <w:jc w:val="both"/>
        <w:rPr/>
      </w:pPr>
      <w:r>
        <w:rPr>
          <w:rFonts w:eastAsia="黑体"/>
          <w:b/>
          <w:sz w:val="22"/>
          <w:szCs w:val="22"/>
        </w:rPr>
        <w:t>常熟开放大学（原常熟电大）</w:t>
      </w:r>
      <w:r>
        <w:rPr>
          <w:rFonts w:eastAsia="楷体_GB2312" w:ascii="楷体_GB2312" w:hAnsi="楷体_GB2312"/>
        </w:rPr>
        <w:t>2018</w:t>
      </w:r>
      <w:r>
        <w:rPr>
          <w:rFonts w:ascii="楷体_GB2312" w:hAnsi="楷体_GB2312" w:eastAsia="楷体_GB2312"/>
        </w:rPr>
        <w:t>年与苏州大学、江苏大学、苏州科技大学高校合作，联办成人高等学历教育，学生通过成人高考取得学籍后，利用业余时间学完教学计划规定的课程，可获得由“苏州大学”、“江苏大学”、“苏州科技大学”相关报考院校颁发的本科毕业证书，符合条件者可授予学士学位，国家承认学历，教育部学历认证电子注册，“中国高等教育学生信息网”（</w:t>
      </w:r>
      <w:r>
        <w:rPr>
          <w:rFonts w:eastAsia="楷体_GB2312" w:ascii="楷体_GB2312" w:hAnsi="楷体_GB2312"/>
        </w:rPr>
        <w:t>www.chsi.com.cn</w:t>
      </w:r>
      <w:r>
        <w:rPr>
          <w:rFonts w:ascii="楷体_GB2312" w:hAnsi="楷体_GB2312" w:eastAsia="楷体_GB2312"/>
        </w:rPr>
        <w:t>）获得学历查询。（详细招生简章登录学校网址：</w:t>
      </w:r>
      <w:r>
        <w:rPr>
          <w:rFonts w:eastAsia="楷体_GB2312" w:ascii="楷体_GB2312" w:hAnsi="楷体_GB2312"/>
        </w:rPr>
        <w:t>http://www.cstvu.com</w:t>
      </w:r>
      <w:r>
        <w:rPr>
          <w:rFonts w:ascii="楷体_GB2312" w:hAnsi="楷体_GB2312" w:eastAsia="楷体_GB2312"/>
        </w:rPr>
        <w:t>）：</w:t>
      </w:r>
    </w:p>
    <w:p>
      <w:pPr>
        <w:pStyle w:val="Normal"/>
        <w:spacing w:lineRule="exact" w:line="260"/>
        <w:ind w:firstLine="422"/>
        <w:rPr/>
      </w:pPr>
      <w:r>
        <w:rPr>
          <w:rFonts w:ascii="黑体" w:hAnsi="黑体" w:eastAsia="黑体"/>
          <w:b/>
        </w:rPr>
        <w:t>一、招生专业</w:t>
      </w:r>
    </w:p>
    <w:tbl>
      <w:tblPr>
        <w:tblW w:w="12915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55"/>
        <w:gridCol w:w="4183"/>
        <w:gridCol w:w="3278"/>
        <w:gridCol w:w="1050"/>
        <w:gridCol w:w="1798"/>
        <w:gridCol w:w="1350"/>
      </w:tblGrid>
      <w:tr>
        <w:trPr>
          <w:trHeight w:val="375" w:hRule="atLeast"/>
        </w:trPr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黑体" w:hAnsi="黑体" w:eastAsia="黑体"/>
                <w:b/>
                <w:b/>
              </w:rPr>
            </w:pPr>
            <w:r>
              <w:rPr>
                <w:rFonts w:ascii="黑体" w:hAnsi="黑体" w:eastAsia="黑体"/>
                <w:b/>
              </w:rPr>
              <w:t>学历层次</w:t>
            </w:r>
          </w:p>
        </w:tc>
        <w:tc>
          <w:tcPr>
            <w:tcW w:w="4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黑体" w:hAnsi="黑体" w:eastAsia="黑体"/>
                <w:b/>
                <w:b/>
              </w:rPr>
            </w:pPr>
            <w:r>
              <w:rPr>
                <w:rFonts w:ascii="黑体" w:hAnsi="黑体" w:eastAsia="黑体"/>
                <w:b/>
              </w:rPr>
              <w:t>专    业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黑体" w:hAnsi="黑体" w:eastAsia="黑体"/>
                <w:b/>
                <w:b/>
              </w:rPr>
            </w:pPr>
            <w:r>
              <w:rPr>
                <w:rFonts w:ascii="黑体" w:hAnsi="黑体" w:eastAsia="黑体"/>
                <w:b/>
              </w:rPr>
              <w:t>入学统考课程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黑体" w:hAnsi="黑体" w:eastAsia="黑体"/>
                <w:b/>
                <w:b/>
              </w:rPr>
            </w:pPr>
            <w:r>
              <w:rPr>
                <w:rFonts w:ascii="黑体" w:hAnsi="黑体" w:eastAsia="黑体"/>
                <w:b/>
              </w:rPr>
              <w:t>学制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黑体" w:hAnsi="黑体" w:eastAsia="黑体"/>
                <w:b/>
                <w:b/>
              </w:rPr>
            </w:pPr>
            <w:r>
              <w:rPr>
                <w:rFonts w:ascii="黑体" w:hAnsi="黑体" w:eastAsia="黑体"/>
                <w:b/>
              </w:rPr>
              <w:t>毕业证书颁发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黑体" w:hAnsi="黑体" w:eastAsia="黑体"/>
                <w:b/>
                <w:b/>
              </w:rPr>
            </w:pPr>
            <w:r>
              <w:rPr>
                <w:rFonts w:ascii="黑体" w:hAnsi="黑体" w:eastAsia="黑体"/>
                <w:b/>
              </w:rPr>
              <w:t>学习形式</w:t>
            </w:r>
          </w:p>
        </w:tc>
      </w:tr>
      <w:tr>
        <w:trPr>
          <w:trHeight w:val="270" w:hRule="atLeast"/>
          <w:cantSplit w:val="true"/>
        </w:trPr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/>
            </w:pPr>
            <w:r>
              <w:rPr>
                <w:rFonts w:ascii="楷体_GB2312" w:hAnsi="楷体_GB2312" w:eastAsia="楷体_GB2312"/>
              </w:rPr>
              <w:t>专升本</w:t>
            </w:r>
          </w:p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r>
              <w:rPr>
                <w:rFonts w:ascii="楷体_GB2312" w:hAnsi="楷体_GB2312" w:eastAsia="楷体_GB2312"/>
              </w:rPr>
              <w:t>（本科）</w:t>
            </w:r>
          </w:p>
        </w:tc>
        <w:tc>
          <w:tcPr>
            <w:tcW w:w="4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/>
            </w:pPr>
            <w:r>
              <w:rPr>
                <w:rFonts w:ascii="楷体_GB2312" w:hAnsi="楷体_GB2312" w:eastAsia="楷体_GB2312"/>
              </w:rPr>
              <w:t>会计学</w:t>
            </w:r>
            <w:r>
              <w:rPr>
                <w:rFonts w:eastAsia="楷体_GB2312" w:ascii="楷体_GB2312" w:hAnsi="楷体_GB2312"/>
              </w:rPr>
              <w:t>/</w:t>
            </w:r>
            <w:r>
              <w:rPr>
                <w:rFonts w:ascii="楷体_GB2312" w:hAnsi="楷体_GB2312" w:eastAsia="楷体_GB2312"/>
              </w:rPr>
              <w:t>工商管理</w:t>
            </w:r>
            <w:r>
              <w:rPr>
                <w:rFonts w:eastAsia="楷体_GB2312" w:ascii="楷体_GB2312" w:hAnsi="楷体_GB2312"/>
              </w:rPr>
              <w:t>/</w:t>
            </w:r>
            <w:r>
              <w:rPr>
                <w:rFonts w:ascii="楷体_GB2312" w:hAnsi="楷体_GB2312" w:eastAsia="楷体_GB2312"/>
              </w:rPr>
              <w:t>国际经济与贸易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bookmarkStart w:id="0" w:name="__DdeLink__156_3838261642"/>
            <w:bookmarkEnd w:id="0"/>
            <w:r>
              <w:rPr>
                <w:rFonts w:ascii="楷体_GB2312" w:hAnsi="楷体_GB2312" w:eastAsia="楷体_GB2312"/>
              </w:rPr>
              <w:t>政治、英语、高等数学（二）</w:t>
            </w:r>
          </w:p>
        </w:tc>
        <w:tc>
          <w:tcPr>
            <w:tcW w:w="10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r>
              <w:rPr>
                <w:rFonts w:eastAsia="楷体_GB2312" w:ascii="楷体_GB2312" w:hAnsi="楷体_GB2312"/>
              </w:rPr>
              <w:t>2.5</w:t>
            </w:r>
            <w:r>
              <w:rPr>
                <w:rFonts w:ascii="楷体_GB2312" w:hAnsi="楷体_GB2312" w:eastAsia="楷体_GB2312"/>
              </w:rPr>
              <w:t>年</w:t>
            </w: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/>
            </w:pPr>
            <w:r>
              <w:rPr>
                <w:rFonts w:ascii="楷体_GB2312" w:hAnsi="楷体_GB2312" w:eastAsia="楷体_GB2312"/>
              </w:rPr>
              <w:t xml:space="preserve">江苏大学 </w:t>
            </w:r>
          </w:p>
        </w:tc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firstLine="420"/>
              <w:rPr>
                <w:rFonts w:ascii="楷体_GB2312" w:hAnsi="楷体_GB2312" w:eastAsia="楷体_GB2312"/>
              </w:rPr>
            </w:pPr>
            <w:r>
              <w:rPr>
                <w:rFonts w:ascii="楷体_GB2312" w:hAnsi="楷体_GB2312" w:eastAsia="楷体_GB2312"/>
              </w:rPr>
              <w:t>成人高考录取后在常熟教学点业余时间学习</w:t>
            </w:r>
          </w:p>
        </w:tc>
      </w:tr>
      <w:tr>
        <w:trPr>
          <w:trHeight w:val="181" w:hRule="atLeast"/>
          <w:cantSplit w:val="true"/>
        </w:trPr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r>
              <w:rPr>
                <w:rFonts w:eastAsia="楷体_GB2312" w:ascii="楷体_GB2312" w:hAnsi="楷体_GB2312"/>
              </w:rPr>
            </w:r>
          </w:p>
        </w:tc>
        <w:tc>
          <w:tcPr>
            <w:tcW w:w="4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r>
              <w:rPr>
                <w:rFonts w:ascii="楷体_GB2312" w:hAnsi="楷体_GB2312" w:eastAsia="楷体_GB2312"/>
              </w:rPr>
              <w:t>车辆工程</w:t>
            </w:r>
          </w:p>
        </w:tc>
        <w:tc>
          <w:tcPr>
            <w:tcW w:w="3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r>
              <w:rPr>
                <w:rFonts w:ascii="楷体_GB2312" w:hAnsi="楷体_GB2312" w:eastAsia="楷体_GB2312"/>
              </w:rPr>
              <w:t>政治、英语、高等数学（一）</w:t>
            </w:r>
          </w:p>
        </w:tc>
        <w:tc>
          <w:tcPr>
            <w:tcW w:w="10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r>
              <w:rPr>
                <w:rFonts w:eastAsia="楷体_GB2312" w:ascii="楷体_GB2312" w:hAnsi="楷体_GB2312"/>
              </w:rPr>
            </w:r>
          </w:p>
        </w:tc>
        <w:tc>
          <w:tcPr>
            <w:tcW w:w="17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r>
              <w:rPr>
                <w:rFonts w:eastAsia="楷体_GB2312" w:ascii="楷体_GB2312" w:hAnsi="楷体_GB2312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firstLine="420"/>
              <w:rPr>
                <w:rFonts w:ascii="楷体_GB2312" w:hAnsi="楷体_GB2312" w:eastAsia="楷体_GB2312"/>
              </w:rPr>
            </w:pPr>
            <w:r>
              <w:rPr>
                <w:rFonts w:eastAsia="楷体_GB2312" w:ascii="楷体_GB2312" w:hAnsi="楷体_GB2312"/>
              </w:rPr>
            </w:r>
          </w:p>
        </w:tc>
      </w:tr>
      <w:tr>
        <w:trPr>
          <w:trHeight w:val="526" w:hRule="atLeast"/>
          <w:cantSplit w:val="true"/>
        </w:trPr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r>
              <w:rPr>
                <w:rFonts w:eastAsia="楷体_GB2312" w:ascii="楷体_GB2312" w:hAnsi="楷体_GB2312"/>
              </w:rPr>
            </w:r>
          </w:p>
        </w:tc>
        <w:tc>
          <w:tcPr>
            <w:tcW w:w="4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r>
              <w:rPr>
                <w:rFonts w:ascii="楷体_GB2312" w:hAnsi="楷体_GB2312" w:eastAsia="楷体_GB2312"/>
              </w:rPr>
              <w:t>土木工程</w:t>
            </w:r>
            <w:r>
              <w:rPr>
                <w:rFonts w:eastAsia="楷体_GB2312" w:ascii="楷体_GB2312" w:hAnsi="楷体_GB2312"/>
              </w:rPr>
              <w:t>/</w:t>
            </w:r>
            <w:r>
              <w:rPr>
                <w:rFonts w:ascii="楷体_GB2312" w:hAnsi="楷体_GB2312" w:eastAsia="楷体_GB2312"/>
              </w:rPr>
              <w:t>机械设计制造及其自动化</w:t>
            </w:r>
            <w:r>
              <w:rPr>
                <w:rFonts w:eastAsia="楷体_GB2312" w:ascii="楷体_GB2312" w:hAnsi="楷体_GB2312"/>
              </w:rPr>
              <w:t>/</w:t>
            </w:r>
          </w:p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r>
              <w:rPr>
                <w:rFonts w:ascii="楷体_GB2312" w:hAnsi="楷体_GB2312" w:eastAsia="楷体_GB2312"/>
              </w:rPr>
              <w:t>电气工程及其自动化</w:t>
            </w:r>
            <w:r>
              <w:rPr>
                <w:rFonts w:eastAsia="楷体_GB2312" w:ascii="楷体_GB2312" w:hAnsi="楷体_GB2312"/>
              </w:rPr>
              <w:t>/</w:t>
            </w:r>
            <w:r>
              <w:rPr>
                <w:rFonts w:ascii="楷体_GB2312" w:hAnsi="楷体_GB2312" w:eastAsia="楷体_GB2312"/>
              </w:rPr>
              <w:t>计算机科学与技术</w:t>
            </w:r>
          </w:p>
        </w:tc>
        <w:tc>
          <w:tcPr>
            <w:tcW w:w="32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r>
              <w:rPr>
                <w:rFonts w:eastAsia="楷体_GB2312" w:ascii="楷体_GB2312" w:hAnsi="楷体_GB2312"/>
              </w:rPr>
            </w:r>
          </w:p>
        </w:tc>
        <w:tc>
          <w:tcPr>
            <w:tcW w:w="10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r>
              <w:rPr>
                <w:rFonts w:eastAsia="楷体_GB2312" w:ascii="楷体_GB2312" w:hAnsi="楷体_GB2312"/>
              </w:rPr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r>
              <w:rPr>
                <w:rFonts w:ascii="楷体_GB2312" w:hAnsi="楷体_GB2312" w:eastAsia="楷体_GB2312"/>
              </w:rPr>
              <w:t>苏州科技大学</w:t>
            </w:r>
          </w:p>
        </w:tc>
        <w:tc>
          <w:tcPr>
            <w:tcW w:w="13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firstLine="420"/>
              <w:rPr>
                <w:rFonts w:ascii="楷体_GB2312" w:hAnsi="楷体_GB2312" w:eastAsia="楷体_GB2312"/>
              </w:rPr>
            </w:pPr>
            <w:r>
              <w:rPr>
                <w:rFonts w:eastAsia="楷体_GB2312" w:ascii="楷体_GB2312" w:hAnsi="楷体_GB2312"/>
              </w:rPr>
            </w:r>
          </w:p>
        </w:tc>
      </w:tr>
      <w:tr>
        <w:trPr>
          <w:trHeight w:val="160" w:hRule="atLeast"/>
          <w:cantSplit w:val="true"/>
        </w:trPr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r>
              <w:rPr>
                <w:rFonts w:eastAsia="楷体_GB2312" w:ascii="楷体_GB2312" w:hAnsi="楷体_GB2312"/>
              </w:rPr>
            </w:r>
          </w:p>
        </w:tc>
        <w:tc>
          <w:tcPr>
            <w:tcW w:w="4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/>
            </w:pPr>
            <w:r>
              <w:rPr>
                <w:rFonts w:ascii="楷体_GB2312" w:hAnsi="楷体_GB2312" w:eastAsia="楷体_GB2312"/>
              </w:rPr>
              <w:t>护理学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/>
            </w:pPr>
            <w:r>
              <w:rPr>
                <w:rFonts w:ascii="楷体_GB2312" w:hAnsi="楷体_GB2312" w:eastAsia="楷体_GB2312"/>
              </w:rPr>
              <w:t>政治、英语、医学综合</w:t>
            </w:r>
          </w:p>
        </w:tc>
        <w:tc>
          <w:tcPr>
            <w:tcW w:w="10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r>
              <w:rPr>
                <w:rFonts w:eastAsia="楷体_GB2312" w:ascii="楷体_GB2312" w:hAnsi="楷体_GB2312"/>
              </w:rPr>
            </w: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/>
            </w:pPr>
            <w:r>
              <w:rPr>
                <w:rFonts w:ascii="楷体_GB2312" w:hAnsi="楷体_GB2312" w:eastAsia="楷体_GB2312"/>
              </w:rPr>
              <w:t>苏州大学</w:t>
            </w:r>
          </w:p>
        </w:tc>
        <w:tc>
          <w:tcPr>
            <w:tcW w:w="13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rPr>
                <w:rFonts w:ascii="楷体_GB2312" w:hAnsi="楷体_GB2312" w:eastAsia="楷体_GB2312"/>
              </w:rPr>
            </w:pPr>
            <w:r>
              <w:rPr>
                <w:rFonts w:eastAsia="楷体_GB2312" w:ascii="楷体_GB2312" w:hAnsi="楷体_GB2312"/>
              </w:rPr>
            </w:r>
          </w:p>
        </w:tc>
      </w:tr>
      <w:tr>
        <w:trPr>
          <w:trHeight w:val="160" w:hRule="atLeast"/>
          <w:cantSplit w:val="true"/>
        </w:trPr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r>
              <w:rPr>
                <w:rFonts w:eastAsia="楷体_GB2312" w:ascii="楷体_GB2312" w:hAnsi="楷体_GB2312"/>
              </w:rPr>
            </w:r>
          </w:p>
        </w:tc>
        <w:tc>
          <w:tcPr>
            <w:tcW w:w="4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/>
            </w:pPr>
            <w:r>
              <w:rPr>
                <w:rFonts w:ascii="楷体_GB2312" w:hAnsi="楷体_GB2312" w:eastAsia="楷体_GB2312"/>
              </w:rPr>
              <w:t>药学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/>
            </w:pPr>
            <w:r>
              <w:rPr>
                <w:rFonts w:ascii="楷体_GB2312" w:hAnsi="楷体_GB2312" w:eastAsia="楷体_GB2312"/>
              </w:rPr>
              <w:t>政治、英语、高等数学（二）</w:t>
            </w:r>
          </w:p>
        </w:tc>
        <w:tc>
          <w:tcPr>
            <w:tcW w:w="10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>
                <w:rFonts w:ascii="楷体_GB2312" w:hAnsi="楷体_GB2312" w:eastAsia="楷体_GB2312"/>
              </w:rPr>
            </w:pPr>
            <w:r>
              <w:rPr>
                <w:rFonts w:eastAsia="楷体_GB2312" w:ascii="楷体_GB2312" w:hAnsi="楷体_GB2312"/>
              </w:rPr>
            </w:r>
          </w:p>
        </w:tc>
        <w:tc>
          <w:tcPr>
            <w:tcW w:w="17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jc w:val="center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240"/>
              <w:ind w:right="-40" w:hanging="0"/>
              <w:rPr>
                <w:rFonts w:ascii="楷体_GB2312" w:hAnsi="楷体_GB2312" w:eastAsia="楷体_GB2312"/>
              </w:rPr>
            </w:pPr>
            <w:r>
              <w:rPr>
                <w:rFonts w:eastAsia="楷体_GB2312" w:ascii="楷体_GB2312" w:hAnsi="楷体_GB2312"/>
              </w:rPr>
            </w:r>
          </w:p>
        </w:tc>
      </w:tr>
    </w:tbl>
    <w:p>
      <w:pPr>
        <w:pStyle w:val="Normal"/>
        <w:spacing w:lineRule="exact" w:line="260"/>
        <w:ind w:firstLine="422"/>
        <w:rPr/>
      </w:pPr>
      <w:r>
        <w:rPr>
          <w:rFonts w:ascii="黑体" w:hAnsi="黑体" w:eastAsia="黑体"/>
          <w:b/>
        </w:rPr>
        <w:t>二、报名方法：</w:t>
      </w:r>
      <w:r>
        <w:rPr>
          <w:rFonts w:eastAsia="黑体" w:ascii="黑体" w:hAnsi="黑体"/>
          <w:b/>
        </w:rPr>
        <w:t>5</w:t>
      </w:r>
      <w:r>
        <w:rPr>
          <w:rFonts w:ascii="楷体_GB2312" w:hAnsi="楷体_GB2312" w:eastAsia="楷体_GB2312"/>
        </w:rPr>
        <w:t>月</w:t>
      </w:r>
      <w:r>
        <w:rPr>
          <w:rFonts w:eastAsia="楷体_GB2312" w:ascii="楷体_GB2312" w:hAnsi="楷体_GB2312"/>
        </w:rPr>
        <w:t>20</w:t>
      </w:r>
      <w:r>
        <w:rPr>
          <w:rFonts w:ascii="楷体_GB2312" w:hAnsi="楷体_GB2312" w:eastAsia="楷体_GB2312"/>
        </w:rPr>
        <w:t>日前到常熟开放大学招生办报名登记，提供</w:t>
      </w:r>
      <w:r>
        <w:rPr>
          <w:rFonts w:eastAsia="楷体_GB2312" w:ascii="楷体_GB2312" w:hAnsi="楷体_GB2312"/>
        </w:rPr>
        <w:t>1</w:t>
      </w:r>
      <w:r>
        <w:rPr>
          <w:rFonts w:ascii="楷体_GB2312" w:hAnsi="楷体_GB2312" w:eastAsia="楷体_GB2312"/>
        </w:rPr>
        <w:t>寸免冠照片一张。</w:t>
      </w:r>
    </w:p>
    <w:p>
      <w:pPr>
        <w:pStyle w:val="Normal"/>
        <w:spacing w:lineRule="exact" w:line="260"/>
        <w:ind w:right="-40" w:firstLine="411"/>
        <w:rPr/>
      </w:pPr>
      <w:r>
        <w:rPr>
          <w:rFonts w:ascii="黑体" w:hAnsi="黑体" w:eastAsia="黑体"/>
          <w:b/>
        </w:rPr>
        <w:t>三、考前辅导：</w:t>
      </w:r>
      <w:r>
        <w:rPr>
          <w:rFonts w:eastAsia="黑体" w:ascii="黑体" w:hAnsi="黑体"/>
          <w:b/>
        </w:rPr>
        <w:t>5</w:t>
      </w:r>
      <w:r>
        <w:rPr>
          <w:rFonts w:ascii="楷体_GB2312" w:hAnsi="楷体_GB2312" w:eastAsia="楷体_GB2312"/>
        </w:rPr>
        <w:t>月</w:t>
      </w:r>
      <w:r>
        <w:rPr>
          <w:rFonts w:eastAsia="楷体_GB2312" w:ascii="楷体_GB2312" w:hAnsi="楷体_GB2312"/>
        </w:rPr>
        <w:t>21</w:t>
      </w:r>
      <w:r>
        <w:rPr>
          <w:rFonts w:ascii="楷体_GB2312" w:hAnsi="楷体_GB2312" w:eastAsia="楷体_GB2312"/>
        </w:rPr>
        <w:t>日～</w:t>
      </w:r>
      <w:r>
        <w:rPr>
          <w:rFonts w:eastAsia="楷体_GB2312" w:ascii="楷体_GB2312" w:hAnsi="楷体_GB2312"/>
        </w:rPr>
        <w:t>9</w:t>
      </w:r>
      <w:r>
        <w:rPr>
          <w:rFonts w:ascii="楷体_GB2312" w:hAnsi="楷体_GB2312" w:eastAsia="楷体_GB2312"/>
        </w:rPr>
        <w:t>月</w:t>
      </w:r>
      <w:r>
        <w:rPr>
          <w:rFonts w:eastAsia="楷体_GB2312" w:ascii="楷体_GB2312" w:hAnsi="楷体_GB2312"/>
        </w:rPr>
        <w:t>30</w:t>
      </w:r>
      <w:r>
        <w:rPr>
          <w:rFonts w:ascii="楷体_GB2312" w:hAnsi="楷体_GB2312" w:eastAsia="楷体_GB2312"/>
        </w:rPr>
        <w:t>日，每周安排三个晚上考前辅导。培训费和教材费共计：专升本</w:t>
      </w:r>
      <w:r>
        <w:rPr>
          <w:rFonts w:eastAsia="楷体_GB2312" w:ascii="楷体_GB2312" w:hAnsi="楷体_GB2312"/>
        </w:rPr>
        <w:t>500</w:t>
      </w:r>
      <w:r>
        <w:rPr>
          <w:rFonts w:ascii="楷体_GB2312" w:hAnsi="楷体_GB2312" w:eastAsia="楷体_GB2312"/>
        </w:rPr>
        <w:t>元</w:t>
      </w:r>
      <w:r>
        <w:rPr>
          <w:rFonts w:eastAsia="楷体_GB2312" w:ascii="楷体_GB2312" w:hAnsi="楷体_GB2312"/>
        </w:rPr>
        <w:t>/</w:t>
      </w:r>
      <w:r>
        <w:rPr>
          <w:rFonts w:ascii="楷体_GB2312" w:hAnsi="楷体_GB2312" w:eastAsia="楷体_GB2312"/>
        </w:rPr>
        <w:t>生。</w:t>
      </w:r>
    </w:p>
    <w:p>
      <w:pPr>
        <w:pStyle w:val="Normal"/>
        <w:tabs>
          <w:tab w:val="left" w:pos="13038" w:leader="none"/>
        </w:tabs>
        <w:spacing w:lineRule="exact" w:line="260"/>
        <w:ind w:right="-40" w:firstLine="411"/>
        <w:rPr/>
      </w:pPr>
      <w:r>
        <w:rPr>
          <w:rFonts w:ascii="黑体" w:hAnsi="黑体" w:eastAsia="黑体"/>
          <w:b/>
        </w:rPr>
        <w:t>四、志愿填报：</w:t>
      </w:r>
      <w:r>
        <w:rPr>
          <w:rFonts w:eastAsia="楷体_GB2312" w:ascii="楷体_GB2312" w:hAnsi="楷体_GB2312"/>
        </w:rPr>
        <w:t>9</w:t>
      </w:r>
      <w:r>
        <w:rPr>
          <w:rFonts w:ascii="楷体_GB2312" w:hAnsi="楷体_GB2312" w:eastAsia="楷体_GB2312"/>
        </w:rPr>
        <w:t>月</w:t>
      </w:r>
      <w:r>
        <w:rPr>
          <w:rFonts w:eastAsia="楷体_GB2312" w:ascii="楷体_GB2312" w:hAnsi="楷体_GB2312"/>
        </w:rPr>
        <w:t>1</w:t>
      </w:r>
      <w:r>
        <w:rPr>
          <w:rFonts w:ascii="楷体_GB2312" w:hAnsi="楷体_GB2312" w:eastAsia="楷体_GB2312"/>
        </w:rPr>
        <w:t>日—</w:t>
      </w:r>
      <w:r>
        <w:rPr>
          <w:rFonts w:eastAsia="楷体_GB2312" w:ascii="楷体_GB2312" w:hAnsi="楷体_GB2312"/>
        </w:rPr>
        <w:t>9</w:t>
      </w:r>
      <w:r>
        <w:rPr>
          <w:rFonts w:ascii="楷体_GB2312" w:hAnsi="楷体_GB2312" w:eastAsia="楷体_GB2312"/>
        </w:rPr>
        <w:t>月</w:t>
      </w:r>
      <w:r>
        <w:rPr>
          <w:rFonts w:eastAsia="楷体_GB2312" w:ascii="楷体_GB2312" w:hAnsi="楷体_GB2312"/>
        </w:rPr>
        <w:t>5</w:t>
      </w:r>
      <w:r>
        <w:rPr>
          <w:rFonts w:ascii="楷体_GB2312" w:hAnsi="楷体_GB2312" w:eastAsia="楷体_GB2312"/>
        </w:rPr>
        <w:t>日（以江苏省教育考试院最终发布的时间为准）到《常熟</w:t>
      </w:r>
      <w:r>
        <w:rPr>
          <w:rFonts w:ascii="楷体_GB2312" w:hAnsi="楷体_GB2312" w:eastAsia="楷体_GB2312"/>
        </w:rPr>
        <w:t>开放大学</w:t>
      </w:r>
      <w:r>
        <w:rPr>
          <w:rFonts w:ascii="楷体_GB2312" w:hAnsi="楷体_GB2312" w:eastAsia="楷体_GB2312"/>
        </w:rPr>
        <w:t>网上报名点》网上填报志愿。</w:t>
      </w:r>
    </w:p>
    <w:p>
      <w:pPr>
        <w:pStyle w:val="Normal"/>
        <w:spacing w:lineRule="exact" w:line="260"/>
        <w:ind w:right="-630" w:firstLine="411"/>
        <w:rPr/>
      </w:pPr>
      <w:r>
        <w:rPr>
          <w:rFonts w:ascii="黑体" w:hAnsi="黑体" w:eastAsia="黑体"/>
          <w:b/>
        </w:rPr>
        <w:t>五、成人高考：</w:t>
      </w:r>
      <w:r>
        <w:rPr>
          <w:rFonts w:eastAsia="楷体_GB2312" w:ascii="楷体_GB2312" w:hAnsi="楷体_GB2312"/>
        </w:rPr>
        <w:t>10</w:t>
      </w:r>
      <w:r>
        <w:rPr>
          <w:rFonts w:ascii="楷体_GB2312" w:hAnsi="楷体_GB2312" w:eastAsia="楷体_GB2312"/>
        </w:rPr>
        <w:t>月</w:t>
      </w:r>
      <w:r>
        <w:rPr>
          <w:rFonts w:eastAsia="楷体_GB2312" w:ascii="楷体_GB2312" w:hAnsi="楷体_GB2312"/>
        </w:rPr>
        <w:t>20</w:t>
      </w:r>
      <w:r>
        <w:rPr>
          <w:rFonts w:ascii="楷体_GB2312" w:hAnsi="楷体_GB2312" w:eastAsia="楷体_GB2312"/>
        </w:rPr>
        <w:t>、</w:t>
      </w:r>
      <w:r>
        <w:rPr>
          <w:rFonts w:eastAsia="楷体_GB2312" w:ascii="楷体_GB2312" w:hAnsi="楷体_GB2312"/>
        </w:rPr>
        <w:t>21</w:t>
      </w:r>
      <w:r>
        <w:rPr>
          <w:rFonts w:ascii="楷体_GB2312" w:hAnsi="楷体_GB2312" w:eastAsia="楷体_GB2312"/>
        </w:rPr>
        <w:t>日（以《准考证》通知的具体时间及考场为准）参加成人高考。</w:t>
      </w:r>
    </w:p>
    <w:p>
      <w:pPr>
        <w:pStyle w:val="Normal"/>
        <w:widowControl w:val="false"/>
        <w:bidi w:val="0"/>
        <w:spacing w:lineRule="exact" w:line="260"/>
        <w:ind w:left="0" w:right="0" w:firstLine="397"/>
        <w:jc w:val="both"/>
        <w:rPr/>
      </w:pPr>
      <w:r>
        <w:rPr>
          <w:rFonts w:ascii="黑体" w:hAnsi="黑体" w:eastAsia="黑体"/>
          <w:b/>
        </w:rPr>
        <w:t>六、学校地址：常熟开放大学（</w:t>
      </w:r>
      <w:r>
        <w:rPr>
          <w:rFonts w:ascii="楷体_GB2312" w:hAnsi="楷体_GB2312" w:eastAsia="楷体_GB2312"/>
        </w:rPr>
        <w:t>泰安新村</w:t>
      </w:r>
      <w:r>
        <w:rPr>
          <w:rFonts w:eastAsia="楷体_GB2312" w:ascii="楷体_GB2312" w:hAnsi="楷体_GB2312"/>
        </w:rPr>
        <w:t>31</w:t>
      </w:r>
      <w:r>
        <w:rPr>
          <w:rFonts w:ascii="楷体_GB2312" w:hAnsi="楷体_GB2312" w:eastAsia="楷体_GB2312"/>
        </w:rPr>
        <w:t>号，锁澜桥向西北方向</w:t>
      </w:r>
      <w:r>
        <w:rPr>
          <w:rFonts w:eastAsia="楷体_GB2312" w:ascii="楷体_GB2312" w:hAnsi="楷体_GB2312"/>
        </w:rPr>
        <w:t>100</w:t>
      </w:r>
      <w:r>
        <w:rPr>
          <w:rFonts w:ascii="楷体_GB2312" w:hAnsi="楷体_GB2312" w:eastAsia="楷体_GB2312"/>
        </w:rPr>
        <w:t>米）。</w:t>
      </w:r>
      <w:r>
        <w:rPr>
          <w:rFonts w:ascii="黑体" w:hAnsi="黑体" w:eastAsia="黑体"/>
          <w:b/>
        </w:rPr>
        <w:t>咨询电话：</w:t>
      </w:r>
      <w:r>
        <w:rPr>
          <w:rFonts w:eastAsia="楷体_GB2312" w:ascii="楷体_GB2312" w:hAnsi="楷体_GB2312"/>
        </w:rPr>
        <w:t>52881638</w:t>
      </w:r>
      <w:r>
        <w:rPr>
          <w:rFonts w:ascii="楷体_GB2312" w:hAnsi="楷体_GB2312" w:eastAsia="楷体_GB2312"/>
        </w:rPr>
        <w:t xml:space="preserve">（招生办） </w:t>
      </w:r>
      <w:r>
        <w:rPr>
          <w:rFonts w:eastAsia="楷体_GB2312" w:ascii="楷体_GB2312" w:hAnsi="楷体_GB2312"/>
        </w:rPr>
        <w:t>52880117</w:t>
      </w:r>
      <w:r>
        <w:rPr>
          <w:rFonts w:ascii="楷体_GB2312" w:hAnsi="楷体_GB2312" w:eastAsia="楷体_GB2312"/>
        </w:rPr>
        <w:t>（办公室）</w:t>
      </w:r>
    </w:p>
    <w:sectPr>
      <w:type w:val="nextPage"/>
      <w:pgSz w:orient="landscape" w:w="16838" w:h="11906"/>
      <w:pgMar w:left="1701" w:right="2149" w:header="0" w:top="1077" w:footer="0" w:bottom="1077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6"/>
    <w:family w:val="roman"/>
    <w:pitch w:val="variable"/>
  </w:font>
  <w:font w:name="Calibri">
    <w:charset w:val="86"/>
    <w:family w:val="roman"/>
    <w:pitch w:val="variable"/>
  </w:font>
  <w:font w:name="Arial">
    <w:charset w:val="86"/>
    <w:family w:val="roman"/>
    <w:pitch w:val="variable"/>
  </w:font>
  <w:font w:name="黑体">
    <w:charset w:val="86"/>
    <w:family w:val="roman"/>
    <w:pitch w:val="variable"/>
  </w:font>
  <w:font w:name="楷体_GB2312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宋体" w:asciiTheme="minorHAnsi" w:cstheme="minorBidi" w:eastAsiaTheme="minorEastAsia" w:hAnsiTheme="minorHAnsi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79fb"/>
    <w:pPr>
      <w:widowControl w:val="false"/>
      <w:bidi w:val="0"/>
      <w:jc w:val="both"/>
    </w:pPr>
    <w:rPr>
      <w:rFonts w:ascii="Times New Roman" w:hAnsi="Times New Roman" w:eastAsia="" w:cs="Times New Roman" w:eastAsiaTheme="minorEastAsia"/>
      <w:color w:val="00000A"/>
      <w:sz w:val="21"/>
      <w:szCs w:val="20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标题样式"/>
    <w:basedOn w:val="Normal"/>
    <w:next w:val="Style15"/>
    <w:qFormat/>
    <w:pPr>
      <w:keepNext/>
      <w:spacing w:before="240" w:after="120"/>
    </w:pPr>
    <w:rPr>
      <w:rFonts w:ascii="Arial" w:hAnsi="Arial" w:eastAsia="微软雅黑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>
    <w:name w:val="表格内容"/>
    <w:basedOn w:val="Normal"/>
    <w:qFormat/>
    <w:pPr/>
    <w:rPr/>
  </w:style>
  <w:style w:type="paragraph" w:styleId="Style20">
    <w:name w:val="表格标题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SmartOffice/1.0.0.1$Windows_x86 LibreOffice_project/</Application>
  <Pages>1</Pages>
  <Words>645</Words>
  <Characters>712</Characters>
  <CharactersWithSpaces>720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2017-03-29T04:52:00Z</dcterms:created>
  <dc:creator>sjd</dc:creator>
  <dc:description/>
  <dc:language>zh-CN</dc:language>
  <cp:lastModifiedBy/>
  <dcterms:modified xsi:type="dcterms:W3CDTF">2018-04-08T10:05:33Z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